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3110B" w14:textId="77777777" w:rsidR="005362C1" w:rsidRPr="005362C1" w:rsidRDefault="005362C1" w:rsidP="005362C1">
      <w:pPr>
        <w:numPr>
          <w:ilvl w:val="0"/>
          <w:numId w:val="1"/>
        </w:numPr>
        <w:tabs>
          <w:tab w:val="num" w:pos="7200"/>
        </w:tabs>
        <w:spacing w:after="0" w:line="276" w:lineRule="auto"/>
        <w:contextualSpacing/>
        <w:rPr>
          <w:rFonts w:ascii="Times New Roman" w:eastAsia="Calibri" w:hAnsi="Times New Roman" w:cs="Times New Roman"/>
          <w:sz w:val="24"/>
          <w:szCs w:val="24"/>
        </w:rPr>
      </w:pPr>
      <w:r w:rsidRPr="005362C1">
        <w:rPr>
          <w:rFonts w:ascii="Times New Roman" w:eastAsia="Calibri" w:hAnsi="Times New Roman" w:cs="Times New Roman"/>
          <w:sz w:val="24"/>
          <w:szCs w:val="24"/>
        </w:rPr>
        <w:t>Revenue from Events, Products and Services</w:t>
      </w:r>
    </w:p>
    <w:p w14:paraId="16A1B17C" w14:textId="77777777" w:rsidR="005362C1" w:rsidRPr="005362C1" w:rsidRDefault="005362C1" w:rsidP="005362C1">
      <w:pPr>
        <w:numPr>
          <w:ilvl w:val="6"/>
          <w:numId w:val="2"/>
        </w:numPr>
        <w:spacing w:after="0" w:line="276" w:lineRule="auto"/>
        <w:ind w:left="1440" w:hanging="288"/>
        <w:contextualSpacing/>
        <w:rPr>
          <w:rFonts w:ascii="Times New Roman" w:eastAsia="Calibri" w:hAnsi="Times New Roman" w:cs="Times New Roman"/>
          <w:sz w:val="24"/>
          <w:szCs w:val="24"/>
        </w:rPr>
      </w:pPr>
      <w:r w:rsidRPr="005362C1">
        <w:rPr>
          <w:rFonts w:ascii="Times New Roman" w:eastAsia="Calibri" w:hAnsi="Times New Roman" w:cs="Times New Roman"/>
          <w:sz w:val="24"/>
          <w:szCs w:val="24"/>
        </w:rPr>
        <w:t xml:space="preserve">Trustee Organizations looking to collect revenue for an event or sell products or services must seek guidance from TSOS, collect in advance and utilize electronic resources whenever possible.  Examples include: Advertising, Sales Revenue, Registration/Entree Fee, Rental Revenue </w:t>
      </w:r>
    </w:p>
    <w:p w14:paraId="54229765" w14:textId="77777777" w:rsidR="005362C1" w:rsidRPr="005362C1" w:rsidRDefault="005362C1" w:rsidP="005362C1">
      <w:pPr>
        <w:numPr>
          <w:ilvl w:val="0"/>
          <w:numId w:val="3"/>
        </w:numPr>
        <w:spacing w:after="0" w:line="276" w:lineRule="auto"/>
        <w:contextualSpacing/>
        <w:rPr>
          <w:rFonts w:ascii="Times New Roman" w:eastAsia="Calibri" w:hAnsi="Times New Roman" w:cs="Times New Roman"/>
          <w:sz w:val="24"/>
          <w:szCs w:val="24"/>
        </w:rPr>
      </w:pPr>
      <w:r w:rsidRPr="005362C1">
        <w:rPr>
          <w:rFonts w:ascii="Times New Roman" w:eastAsia="Calibri" w:hAnsi="Times New Roman" w:cs="Times New Roman"/>
          <w:sz w:val="24"/>
          <w:szCs w:val="24"/>
        </w:rPr>
        <w:t>Trustee organizations are not exempt from collecting sales tax if they engage in the sale or resale of tangible property or services. TSOS will help determine if sales tax should be charged, and if determined tax must be charged, it must be remitted to the State in a timely manner not less than once per quarter.</w:t>
      </w:r>
    </w:p>
    <w:p w14:paraId="4E16E41E" w14:textId="77777777" w:rsidR="005362C1" w:rsidRPr="005362C1" w:rsidRDefault="005362C1" w:rsidP="005362C1">
      <w:pPr>
        <w:numPr>
          <w:ilvl w:val="0"/>
          <w:numId w:val="3"/>
        </w:numPr>
        <w:spacing w:after="0" w:line="276" w:lineRule="auto"/>
        <w:contextualSpacing/>
        <w:rPr>
          <w:rFonts w:ascii="Times New Roman" w:eastAsia="Calibri" w:hAnsi="Times New Roman" w:cs="Times New Roman"/>
          <w:sz w:val="24"/>
          <w:szCs w:val="24"/>
        </w:rPr>
      </w:pPr>
      <w:r w:rsidRPr="005362C1">
        <w:rPr>
          <w:rFonts w:ascii="Times New Roman" w:eastAsia="Calibri" w:hAnsi="Times New Roman" w:cs="Times New Roman"/>
          <w:sz w:val="24"/>
          <w:szCs w:val="24"/>
        </w:rPr>
        <w:t xml:space="preserve">If the revenue includes the sale of physical tickets, TSOS will provide detailed procedures and requirements based on the specifics of the event itself and in compliance with the State Comptroller’s Accounting Procedure’s Manual. </w:t>
      </w:r>
    </w:p>
    <w:p w14:paraId="5F3A385A" w14:textId="777BCAF5" w:rsidR="005362C1" w:rsidRPr="005362C1" w:rsidRDefault="005362C1" w:rsidP="005362C1">
      <w:pPr>
        <w:numPr>
          <w:ilvl w:val="0"/>
          <w:numId w:val="3"/>
        </w:numPr>
        <w:spacing w:after="0" w:line="276" w:lineRule="auto"/>
        <w:contextualSpacing/>
        <w:rPr>
          <w:rFonts w:ascii="Times New Roman" w:eastAsia="Calibri" w:hAnsi="Times New Roman" w:cs="Times New Roman"/>
          <w:sz w:val="24"/>
          <w:szCs w:val="24"/>
        </w:rPr>
      </w:pPr>
      <w:r w:rsidRPr="005362C1">
        <w:rPr>
          <w:rFonts w:ascii="Times New Roman" w:eastAsia="Calibri" w:hAnsi="Times New Roman" w:cs="Times New Roman"/>
          <w:sz w:val="24"/>
          <w:szCs w:val="24"/>
        </w:rPr>
        <w:t xml:space="preserve">Per State of Connecticut Division of Special Revenue, raffles and gambling are illegal including, but not limited to, sale of tickets for a chance to win, </w:t>
      </w:r>
      <w:r>
        <w:rPr>
          <w:rFonts w:ascii="Times New Roman" w:eastAsia="Calibri" w:hAnsi="Times New Roman" w:cs="Times New Roman"/>
          <w:sz w:val="24"/>
          <w:szCs w:val="24"/>
        </w:rPr>
        <w:t xml:space="preserve">bingo, </w:t>
      </w:r>
      <w:r w:rsidRPr="005362C1">
        <w:rPr>
          <w:rFonts w:ascii="Times New Roman" w:eastAsia="Calibri" w:hAnsi="Times New Roman" w:cs="Times New Roman"/>
          <w:sz w:val="24"/>
          <w:szCs w:val="24"/>
        </w:rPr>
        <w:t>poker games and gambling tournaments.</w:t>
      </w:r>
    </w:p>
    <w:p w14:paraId="7C73E8FD" w14:textId="77777777" w:rsidR="005362C1" w:rsidRDefault="005362C1"/>
    <w:sectPr w:rsidR="00536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F3D88"/>
    <w:multiLevelType w:val="multilevel"/>
    <w:tmpl w:val="CBA05130"/>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160" w:hanging="360"/>
      </w:pPr>
      <w:rPr>
        <w:rFonts w:hint="default"/>
      </w:rPr>
    </w:lvl>
    <w:lvl w:ilvl="4">
      <w:start w:val="1"/>
      <w:numFmt w:val="lowerLetter"/>
      <w:lvlText w:val="%5."/>
      <w:lvlJc w:val="left"/>
      <w:pPr>
        <w:ind w:left="3600" w:hanging="360"/>
      </w:pPr>
      <w:rPr>
        <w:rFonts w:hint="default"/>
      </w:rPr>
    </w:lvl>
    <w:lvl w:ilvl="5">
      <w:start w:val="1"/>
      <w:numFmt w:val="upperRoman"/>
      <w:lvlText w:val="%6."/>
      <w:lvlJc w:val="right"/>
      <w:pPr>
        <w:ind w:left="4860" w:hanging="720"/>
      </w:pPr>
      <w:rPr>
        <w:rFonts w:hint="default"/>
        <w:b/>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937112C"/>
    <w:multiLevelType w:val="hybridMultilevel"/>
    <w:tmpl w:val="A75AC34E"/>
    <w:lvl w:ilvl="0" w:tplc="852A1258">
      <w:start w:val="1"/>
      <w:numFmt w:val="upperLetter"/>
      <w:lvlText w:val="%1."/>
      <w:lvlJc w:val="left"/>
      <w:pPr>
        <w:tabs>
          <w:tab w:val="num" w:pos="1080"/>
        </w:tabs>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81DC5"/>
    <w:multiLevelType w:val="hybridMultilevel"/>
    <w:tmpl w:val="867CA4F0"/>
    <w:lvl w:ilvl="0" w:tplc="D696CFC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C1"/>
    <w:rsid w:val="00314A9A"/>
    <w:rsid w:val="0053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3E6C"/>
  <w15:chartTrackingRefBased/>
  <w15:docId w15:val="{E9AD1624-7B47-4A56-A20C-B21B6238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2C1"/>
    <w:rPr>
      <w:rFonts w:ascii="Segoe UI" w:hAnsi="Segoe UI" w:cs="Segoe UI"/>
      <w:sz w:val="18"/>
      <w:szCs w:val="18"/>
    </w:rPr>
  </w:style>
  <w:style w:type="character" w:styleId="CommentReference">
    <w:name w:val="annotation reference"/>
    <w:uiPriority w:val="99"/>
    <w:semiHidden/>
    <w:unhideWhenUsed/>
    <w:rsid w:val="005362C1"/>
    <w:rPr>
      <w:sz w:val="16"/>
      <w:szCs w:val="16"/>
    </w:rPr>
  </w:style>
  <w:style w:type="paragraph" w:styleId="CommentText">
    <w:name w:val="annotation text"/>
    <w:basedOn w:val="Normal"/>
    <w:link w:val="CommentTextChar"/>
    <w:uiPriority w:val="99"/>
    <w:unhideWhenUsed/>
    <w:rsid w:val="005362C1"/>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5362C1"/>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Kimberly</dc:creator>
  <cp:keywords/>
  <dc:description/>
  <cp:lastModifiedBy>Miller, Kimberly</cp:lastModifiedBy>
  <cp:revision>2</cp:revision>
  <dcterms:created xsi:type="dcterms:W3CDTF">2020-08-25T21:59:00Z</dcterms:created>
  <dcterms:modified xsi:type="dcterms:W3CDTF">2020-08-25T21:59:00Z</dcterms:modified>
</cp:coreProperties>
</file>